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BD3E" w14:textId="25057F3F" w:rsidR="00D963FC" w:rsidRDefault="00910185">
      <w:r>
        <w:t>Atopic Dermatitis</w:t>
      </w:r>
    </w:p>
    <w:p w14:paraId="725D2BB5" w14:textId="77777777" w:rsidR="00910185" w:rsidRPr="00910185" w:rsidRDefault="00910185" w:rsidP="00910185">
      <w:r w:rsidRPr="00910185">
        <w:rPr>
          <w:b/>
          <w:bCs/>
        </w:rPr>
        <w:t>Assessment:</w:t>
      </w:r>
      <w:r w:rsidRPr="00910185">
        <w:t xml:space="preserve"> The patient presents with dry, itchy, and inflamed skin, primarily affecting flexural areas (e.g., elbows, knees), with a history of flare-ups. The differential diagnosis includes atopic dermatitis, contact dermatitis, psoriasis, seborrheic dermatitis, and nummular eczema.</w:t>
      </w:r>
    </w:p>
    <w:p w14:paraId="7B62B789" w14:textId="77777777" w:rsidR="00910185" w:rsidRPr="00910185" w:rsidRDefault="00910185" w:rsidP="00910185">
      <w:r w:rsidRPr="00910185">
        <w:rPr>
          <w:b/>
          <w:bCs/>
        </w:rPr>
        <w:t>Plan:</w:t>
      </w:r>
      <w:r w:rsidRPr="00910185">
        <w:t xml:space="preserve"> Educate the patient about atopic dermatitis, emphasizing the importance of skin hydration and avoiding known triggers (e.g., irritants, allergens). Recommend a skincare routine that includes the use of emollients (e.g., thick creams or ointments) applied liberally and frequently. For treatment, prescribe topical corticosteroids (e.g., hydrocortisone 1% or higher, as appropriate) to be applied to affected areas twice daily during flare-ups. Consider adding topical calcineurin inhibitors (e.g., tacrolimus) for sensitive areas if needed. Schedule a follow-up in 4-6 weeks to reassess the condition and adjust treatment as necessary. If symptoms persist, discuss potential systemic therapies or referral to a dermatologist. Instruct the patient to report any signs of infection or if symptoms worsen despite treatment.</w:t>
      </w:r>
    </w:p>
    <w:p w14:paraId="1D5DA347" w14:textId="77777777" w:rsidR="00910185" w:rsidRDefault="00910185"/>
    <w:sectPr w:rsidR="0091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85"/>
    <w:rsid w:val="0053625F"/>
    <w:rsid w:val="00910185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3890"/>
  <w15:chartTrackingRefBased/>
  <w15:docId w15:val="{1096BB00-B3C7-4F64-A00B-AD52B675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2024-10-19T13:20:00Z</dcterms:created>
  <dcterms:modified xsi:type="dcterms:W3CDTF">2024-10-19T13:20:00Z</dcterms:modified>
</cp:coreProperties>
</file>