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DA988" w14:textId="0562BDE1" w:rsidR="00D963FC" w:rsidRDefault="001B3B6E">
      <w:r>
        <w:t>Cirrhosis</w:t>
      </w:r>
    </w:p>
    <w:p w14:paraId="082E17E1" w14:textId="77777777" w:rsidR="001B3B6E" w:rsidRPr="001B3B6E" w:rsidRDefault="001B3B6E" w:rsidP="001B3B6E">
      <w:r w:rsidRPr="001B3B6E">
        <w:rPr>
          <w:b/>
          <w:bCs/>
        </w:rPr>
        <w:t>Assessment:</w:t>
      </w:r>
      <w:r w:rsidRPr="001B3B6E">
        <w:br/>
        <w:t>Imaging and/or labs are consistent with cirrhosis, showing a nodular liver, splenomegaly, elevated liver enzymes, low albumin, and prolonged INR. Differential diagnosis includes alcoholic liver disease, non-alcoholic fatty liver disease, chronic viral hepatitis (B/C), autoimmune hepatitis, hemochromatosis, primary biliary cholangitis, Wilson’s disease, and medication-induced liver injury.</w:t>
      </w:r>
    </w:p>
    <w:p w14:paraId="6B56B6DA" w14:textId="2DBDB6C8" w:rsidR="001B3B6E" w:rsidRPr="001B3B6E" w:rsidRDefault="001B3B6E" w:rsidP="001B3B6E"/>
    <w:p w14:paraId="78B1B829" w14:textId="049B9E78" w:rsidR="001B3B6E" w:rsidRPr="001B3B6E" w:rsidRDefault="001B3B6E" w:rsidP="001B3B6E">
      <w:r w:rsidRPr="001B3B6E">
        <w:rPr>
          <w:b/>
          <w:bCs/>
        </w:rPr>
        <w:t>Plan:</w:t>
      </w:r>
      <w:r w:rsidRPr="001B3B6E">
        <w:br/>
        <w:t>Further workup includes hepatitis panel, autoimmune markers, iron studies, ceruloplasmin, and alpha-1 antitrypsin levels. Management involves alcohol cessation if applicable, weight management for NAFLD, and avoiding hepatotoxic medications. Screen for complications: order an upper endoscopy</w:t>
      </w:r>
      <w:r>
        <w:t xml:space="preserve"> (once a year)</w:t>
      </w:r>
      <w:r w:rsidRPr="001B3B6E">
        <w:t xml:space="preserve"> for esophageal varices, abdominal ultrasound</w:t>
      </w:r>
      <w:r>
        <w:t xml:space="preserve"> (every 6 months)</w:t>
      </w:r>
      <w:r w:rsidRPr="001B3B6E">
        <w:t xml:space="preserve"> with AFP for hepatocellular carcinoma, and monitor for ascites, hepatic encephalopathy, portal hypertension, and coagulopathy. A referral to GI is placed for further evaluation and management, including liver biopsy if necessary. Regular follow-up with primary care and GI is planned, with ongoing monitoring of liver function, CBC, and INR.</w:t>
      </w:r>
    </w:p>
    <w:p w14:paraId="00E09F4C" w14:textId="77777777" w:rsidR="001B3B6E" w:rsidRDefault="001B3B6E"/>
    <w:sectPr w:rsidR="001B3B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B6E"/>
    <w:rsid w:val="001B3B6E"/>
    <w:rsid w:val="00517643"/>
    <w:rsid w:val="00D9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8849C"/>
  <w15:chartTrackingRefBased/>
  <w15:docId w15:val="{2F0AA10B-47F4-49C8-BDB4-4DA699D47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5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Kiesel</dc:creator>
  <cp:keywords/>
  <dc:description/>
  <cp:lastModifiedBy>Sean Kiesel</cp:lastModifiedBy>
  <cp:revision>1</cp:revision>
  <dcterms:created xsi:type="dcterms:W3CDTF">2024-10-22T11:34:00Z</dcterms:created>
  <dcterms:modified xsi:type="dcterms:W3CDTF">2024-10-22T11:35:00Z</dcterms:modified>
</cp:coreProperties>
</file>